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0B4EED" w:rsidRPr="000B4EED" w:rsidTr="000B4EE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B4EED" w:rsidRPr="000B4EE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4EED" w:rsidRPr="000B4EED" w:rsidRDefault="000B4EED" w:rsidP="000B4EED">
                  <w:pPr>
                    <w:spacing w:after="0" w:line="240" w:lineRule="atLeast"/>
                    <w:rPr>
                      <w:rFonts w:ascii="Times New Roman" w:eastAsia="Times New Roman" w:hAnsi="Times New Roman" w:cs="Times New Roman"/>
                      <w:sz w:val="24"/>
                      <w:szCs w:val="24"/>
                      <w:lang w:eastAsia="tr-TR"/>
                    </w:rPr>
                  </w:pPr>
                  <w:r w:rsidRPr="000B4EED">
                    <w:rPr>
                      <w:rFonts w:ascii="Arial" w:eastAsia="Times New Roman" w:hAnsi="Arial" w:cs="Arial"/>
                      <w:sz w:val="16"/>
                      <w:szCs w:val="16"/>
                      <w:lang w:eastAsia="tr-TR"/>
                    </w:rPr>
                    <w:t>8 Ekim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4EED" w:rsidRPr="000B4EED" w:rsidRDefault="000B4EED" w:rsidP="000B4EED">
                  <w:pPr>
                    <w:spacing w:after="0" w:line="240" w:lineRule="atLeast"/>
                    <w:jc w:val="center"/>
                    <w:rPr>
                      <w:rFonts w:ascii="Times New Roman" w:eastAsia="Times New Roman" w:hAnsi="Times New Roman" w:cs="Times New Roman"/>
                      <w:sz w:val="24"/>
                      <w:szCs w:val="24"/>
                      <w:lang w:eastAsia="tr-TR"/>
                    </w:rPr>
                  </w:pPr>
                  <w:r w:rsidRPr="000B4EE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B4EED" w:rsidRPr="000B4EED" w:rsidRDefault="000B4EED" w:rsidP="000B4EE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B4EED">
                    <w:rPr>
                      <w:rFonts w:ascii="Arial" w:eastAsia="Times New Roman" w:hAnsi="Arial" w:cs="Arial"/>
                      <w:sz w:val="16"/>
                      <w:szCs w:val="16"/>
                      <w:lang w:eastAsia="tr-TR"/>
                    </w:rPr>
                    <w:t>Sayı : 29851</w:t>
                  </w:r>
                  <w:proofErr w:type="gramEnd"/>
                </w:p>
              </w:tc>
            </w:tr>
            <w:tr w:rsidR="000B4EED" w:rsidRPr="000B4EED">
              <w:trPr>
                <w:trHeight w:val="480"/>
                <w:jc w:val="center"/>
              </w:trPr>
              <w:tc>
                <w:tcPr>
                  <w:tcW w:w="8789" w:type="dxa"/>
                  <w:gridSpan w:val="3"/>
                  <w:tcMar>
                    <w:top w:w="0" w:type="dxa"/>
                    <w:left w:w="108" w:type="dxa"/>
                    <w:bottom w:w="0" w:type="dxa"/>
                    <w:right w:w="108" w:type="dxa"/>
                  </w:tcMar>
                  <w:vAlign w:val="center"/>
                  <w:hideMark/>
                </w:tcPr>
                <w:p w:rsidR="000B4EED" w:rsidRPr="000B4EED" w:rsidRDefault="000B4EED" w:rsidP="000B4EE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4EED">
                    <w:rPr>
                      <w:rFonts w:ascii="Arial" w:eastAsia="Times New Roman" w:hAnsi="Arial" w:cs="Arial"/>
                      <w:b/>
                      <w:bCs/>
                      <w:color w:val="000080"/>
                      <w:sz w:val="18"/>
                      <w:szCs w:val="18"/>
                      <w:lang w:eastAsia="tr-TR"/>
                    </w:rPr>
                    <w:t>YÖNETMELİK</w:t>
                  </w:r>
                </w:p>
              </w:tc>
            </w:tr>
            <w:tr w:rsidR="000B4EED" w:rsidRPr="000B4EED">
              <w:trPr>
                <w:trHeight w:val="480"/>
                <w:jc w:val="center"/>
              </w:trPr>
              <w:tc>
                <w:tcPr>
                  <w:tcW w:w="8789" w:type="dxa"/>
                  <w:gridSpan w:val="3"/>
                  <w:tcMar>
                    <w:top w:w="0" w:type="dxa"/>
                    <w:left w:w="108" w:type="dxa"/>
                    <w:bottom w:w="0" w:type="dxa"/>
                    <w:right w:w="108" w:type="dxa"/>
                  </w:tcMar>
                  <w:vAlign w:val="center"/>
                  <w:hideMark/>
                </w:tcPr>
                <w:p w:rsidR="000B4EED" w:rsidRPr="000B4EED" w:rsidRDefault="000B4EED" w:rsidP="000B4EED">
                  <w:pPr>
                    <w:spacing w:after="0" w:line="240" w:lineRule="atLeast"/>
                    <w:ind w:firstLine="566"/>
                    <w:jc w:val="both"/>
                    <w:rPr>
                      <w:rFonts w:ascii="Times New Roman" w:eastAsia="Times New Roman" w:hAnsi="Times New Roman" w:cs="Times New Roman"/>
                      <w:u w:val="single"/>
                      <w:lang w:eastAsia="tr-TR"/>
                    </w:rPr>
                  </w:pPr>
                  <w:r w:rsidRPr="000B4EED">
                    <w:rPr>
                      <w:rFonts w:ascii="Times New Roman" w:eastAsia="Times New Roman" w:hAnsi="Times New Roman" w:cs="Times New Roman"/>
                      <w:sz w:val="18"/>
                      <w:szCs w:val="18"/>
                      <w:u w:val="single"/>
                      <w:lang w:eastAsia="tr-TR"/>
                    </w:rPr>
                    <w:t>Yükseköğretim Kurulu Başkanlığından:</w:t>
                  </w:r>
                </w:p>
                <w:p w:rsidR="000B4EED" w:rsidRPr="000B4EED" w:rsidRDefault="000B4EED" w:rsidP="000B4EED">
                  <w:pPr>
                    <w:spacing w:before="56" w:after="0" w:line="240" w:lineRule="atLeast"/>
                    <w:jc w:val="center"/>
                    <w:rPr>
                      <w:rFonts w:ascii="Times New Roman" w:eastAsia="Times New Roman" w:hAnsi="Times New Roman" w:cs="Times New Roman"/>
                      <w:b/>
                      <w:bCs/>
                      <w:sz w:val="19"/>
                      <w:szCs w:val="19"/>
                      <w:lang w:eastAsia="tr-TR"/>
                    </w:rPr>
                  </w:pPr>
                  <w:r w:rsidRPr="000B4EED">
                    <w:rPr>
                      <w:rFonts w:ascii="Times New Roman" w:eastAsia="Times New Roman" w:hAnsi="Times New Roman" w:cs="Times New Roman"/>
                      <w:b/>
                      <w:bCs/>
                      <w:sz w:val="18"/>
                      <w:szCs w:val="18"/>
                      <w:lang w:eastAsia="tr-TR"/>
                    </w:rPr>
                    <w:t>YÜKSEKÖĞRETİM KURUMLARINDA DANIŞMA KURULU</w:t>
                  </w:r>
                </w:p>
                <w:p w:rsidR="000B4EED" w:rsidRPr="000B4EED" w:rsidRDefault="000B4EED" w:rsidP="000B4EED">
                  <w:pPr>
                    <w:spacing w:after="170" w:line="240" w:lineRule="atLeast"/>
                    <w:jc w:val="center"/>
                    <w:rPr>
                      <w:rFonts w:ascii="Times New Roman" w:eastAsia="Times New Roman" w:hAnsi="Times New Roman" w:cs="Times New Roman"/>
                      <w:b/>
                      <w:bCs/>
                      <w:sz w:val="19"/>
                      <w:szCs w:val="19"/>
                      <w:lang w:eastAsia="tr-TR"/>
                    </w:rPr>
                  </w:pPr>
                  <w:bookmarkStart w:id="0" w:name="_GoBack"/>
                  <w:bookmarkEnd w:id="0"/>
                  <w:r w:rsidRPr="000B4EED">
                    <w:rPr>
                      <w:rFonts w:ascii="Times New Roman" w:eastAsia="Times New Roman" w:hAnsi="Times New Roman" w:cs="Times New Roman"/>
                      <w:b/>
                      <w:bCs/>
                      <w:sz w:val="18"/>
                      <w:szCs w:val="18"/>
                      <w:lang w:eastAsia="tr-TR"/>
                    </w:rPr>
                    <w:t>OLUŞTURULMASINA İLİŞKİN YÖNETMELİK</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b/>
                      <w:bCs/>
                      <w:sz w:val="18"/>
                      <w:szCs w:val="18"/>
                      <w:lang w:eastAsia="tr-TR"/>
                    </w:rPr>
                    <w:t>Amaç</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b/>
                      <w:bCs/>
                      <w:sz w:val="18"/>
                      <w:szCs w:val="18"/>
                      <w:lang w:eastAsia="tr-TR"/>
                    </w:rPr>
                    <w:t>MADDE 1 –</w:t>
                  </w:r>
                  <w:r w:rsidRPr="000B4EED">
                    <w:rPr>
                      <w:rFonts w:ascii="Times New Roman" w:eastAsia="Times New Roman" w:hAnsi="Times New Roman" w:cs="Times New Roman"/>
                      <w:sz w:val="18"/>
                      <w:szCs w:val="18"/>
                      <w:lang w:eastAsia="tr-TR"/>
                    </w:rPr>
                    <w:t> (1) Bu Yönetmeliğin amacı; yükseköğretim kurumlarının iş dünyası ve diğer paydaşlar arasındaki ilişkileri geliştirmek amacıyla danışma kurulları oluşturulabilmesine imkân ve fırsat sağlamaktır.</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b/>
                      <w:bCs/>
                      <w:sz w:val="18"/>
                      <w:szCs w:val="18"/>
                      <w:lang w:eastAsia="tr-TR"/>
                    </w:rPr>
                    <w:t>Kapsam</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b/>
                      <w:bCs/>
                      <w:sz w:val="18"/>
                      <w:szCs w:val="18"/>
                      <w:lang w:eastAsia="tr-TR"/>
                    </w:rPr>
                    <w:t>MADDE 2 – </w:t>
                  </w:r>
                  <w:r w:rsidRPr="000B4EED">
                    <w:rPr>
                      <w:rFonts w:ascii="Times New Roman" w:eastAsia="Times New Roman" w:hAnsi="Times New Roman" w:cs="Times New Roman"/>
                      <w:sz w:val="18"/>
                      <w:szCs w:val="18"/>
                      <w:lang w:eastAsia="tr-TR"/>
                    </w:rPr>
                    <w:t>(1) Bu Yönetmelik, yükseköğretim kurumlarının her alanda iş dünyası, kurum ve kuruluşlarla ve diğer paydaşlarla işbirliği yapması ve ilişkileri geliştirmesine ilişkin oluşturulabilecek danışma kurullarının oluşturulması ve işleyişine dair esasları kapsar.</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b/>
                      <w:bCs/>
                      <w:sz w:val="18"/>
                      <w:szCs w:val="18"/>
                      <w:lang w:eastAsia="tr-TR"/>
                    </w:rPr>
                    <w:t>Dayanak</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b/>
                      <w:bCs/>
                      <w:sz w:val="18"/>
                      <w:szCs w:val="18"/>
                      <w:lang w:eastAsia="tr-TR"/>
                    </w:rPr>
                    <w:t>MADDE 3 –</w:t>
                  </w:r>
                  <w:r w:rsidRPr="000B4EED">
                    <w:rPr>
                      <w:rFonts w:ascii="Times New Roman" w:eastAsia="Times New Roman" w:hAnsi="Times New Roman" w:cs="Times New Roman"/>
                      <w:sz w:val="18"/>
                      <w:szCs w:val="18"/>
                      <w:lang w:eastAsia="tr-TR"/>
                    </w:rPr>
                    <w:t> (1) Bu Yönetmelik; 4/11/1981 tarihli ve 2547 sayılı Yükseköğretim Kanununun 44 üncü maddesinin (f) fıkrasına dayanılarak hazırlanmıştır.</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b/>
                      <w:bCs/>
                      <w:sz w:val="18"/>
                      <w:szCs w:val="18"/>
                      <w:lang w:eastAsia="tr-TR"/>
                    </w:rPr>
                    <w:t>Danışma kurulu oluşturulması ve işleyişi</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b/>
                      <w:bCs/>
                      <w:sz w:val="18"/>
                      <w:szCs w:val="18"/>
                      <w:lang w:eastAsia="tr-TR"/>
                    </w:rPr>
                    <w:t>MADDE 4 –</w:t>
                  </w:r>
                  <w:r w:rsidRPr="000B4EED">
                    <w:rPr>
                      <w:rFonts w:ascii="Times New Roman" w:eastAsia="Times New Roman" w:hAnsi="Times New Roman" w:cs="Times New Roman"/>
                      <w:sz w:val="18"/>
                      <w:szCs w:val="18"/>
                      <w:lang w:eastAsia="tr-TR"/>
                    </w:rPr>
                    <w:t> (1) Yükseköğretim kurumları eğitim-öğretim ve araştırma süreçleri öncelikli olmak üzere ilgili birim, bölüm ve programlara görüş ve öneri bildirmek üzere işgücü piyasası temsilcileri ile diğer paydaşların da yer alacağı danışma kurullarını senato kararı ile oluşturabilirler.</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sz w:val="18"/>
                      <w:szCs w:val="18"/>
                      <w:lang w:eastAsia="tr-TR"/>
                    </w:rPr>
                    <w:t>(2) Danışma kurullarının kuruluş ve işleyiş esasları senatolar tarafından belirlenir.</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sz w:val="18"/>
                      <w:szCs w:val="18"/>
                      <w:lang w:eastAsia="tr-TR"/>
                    </w:rPr>
                    <w:t>(3) Oluşturulan danışma kurulları senato kararı ile kaldırılabilir.</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sz w:val="18"/>
                      <w:szCs w:val="18"/>
                      <w:lang w:eastAsia="tr-TR"/>
                    </w:rPr>
                    <w:t>(4) Danışma kurulları ve faaliyetlerine ilişkin her yılın sonunda Yükseköğretim Kuruluna bilgi verilir.</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b/>
                      <w:bCs/>
                      <w:sz w:val="18"/>
                      <w:szCs w:val="18"/>
                      <w:lang w:eastAsia="tr-TR"/>
                    </w:rPr>
                    <w:t>Yürürlük</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b/>
                      <w:bCs/>
                      <w:sz w:val="18"/>
                      <w:szCs w:val="18"/>
                      <w:lang w:eastAsia="tr-TR"/>
                    </w:rPr>
                    <w:t>MADDE 5 –</w:t>
                  </w:r>
                  <w:r w:rsidRPr="000B4EED">
                    <w:rPr>
                      <w:rFonts w:ascii="Times New Roman" w:eastAsia="Times New Roman" w:hAnsi="Times New Roman" w:cs="Times New Roman"/>
                      <w:sz w:val="18"/>
                      <w:szCs w:val="18"/>
                      <w:lang w:eastAsia="tr-TR"/>
                    </w:rPr>
                    <w:t> (1) Bu Yönetmelik yayımı tarihinde yürürlüğe girer.</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b/>
                      <w:bCs/>
                      <w:sz w:val="18"/>
                      <w:szCs w:val="18"/>
                      <w:lang w:eastAsia="tr-TR"/>
                    </w:rPr>
                    <w:t>Yürütme</w:t>
                  </w:r>
                </w:p>
                <w:p w:rsidR="000B4EED" w:rsidRPr="000B4EED" w:rsidRDefault="000B4EED" w:rsidP="000B4EED">
                  <w:pPr>
                    <w:spacing w:after="0" w:line="240" w:lineRule="atLeast"/>
                    <w:ind w:firstLine="566"/>
                    <w:jc w:val="both"/>
                    <w:rPr>
                      <w:rFonts w:ascii="Times New Roman" w:eastAsia="Times New Roman" w:hAnsi="Times New Roman" w:cs="Times New Roman"/>
                      <w:sz w:val="19"/>
                      <w:szCs w:val="19"/>
                      <w:lang w:eastAsia="tr-TR"/>
                    </w:rPr>
                  </w:pPr>
                  <w:r w:rsidRPr="000B4EED">
                    <w:rPr>
                      <w:rFonts w:ascii="Times New Roman" w:eastAsia="Times New Roman" w:hAnsi="Times New Roman" w:cs="Times New Roman"/>
                      <w:b/>
                      <w:bCs/>
                      <w:sz w:val="18"/>
                      <w:szCs w:val="18"/>
                      <w:lang w:eastAsia="tr-TR"/>
                    </w:rPr>
                    <w:t>MADDE 6 –</w:t>
                  </w:r>
                  <w:r w:rsidRPr="000B4EED">
                    <w:rPr>
                      <w:rFonts w:ascii="Times New Roman" w:eastAsia="Times New Roman" w:hAnsi="Times New Roman" w:cs="Times New Roman"/>
                      <w:sz w:val="18"/>
                      <w:szCs w:val="18"/>
                      <w:lang w:eastAsia="tr-TR"/>
                    </w:rPr>
                    <w:t> (1) Bu Yönetmelik hükümlerini Yükseköğretim Kurulu Başkanı yürütür.</w:t>
                  </w:r>
                </w:p>
                <w:p w:rsidR="000B4EED" w:rsidRPr="000B4EED" w:rsidRDefault="000B4EED" w:rsidP="000B4EE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4EED">
                    <w:rPr>
                      <w:rFonts w:ascii="Arial" w:eastAsia="Times New Roman" w:hAnsi="Arial" w:cs="Arial"/>
                      <w:b/>
                      <w:bCs/>
                      <w:color w:val="000080"/>
                      <w:sz w:val="18"/>
                      <w:szCs w:val="18"/>
                      <w:lang w:eastAsia="tr-TR"/>
                    </w:rPr>
                    <w:t> </w:t>
                  </w:r>
                </w:p>
              </w:tc>
            </w:tr>
          </w:tbl>
          <w:p w:rsidR="000B4EED" w:rsidRPr="000B4EED" w:rsidRDefault="000B4EED" w:rsidP="000B4EED">
            <w:pPr>
              <w:spacing w:after="0" w:line="240" w:lineRule="auto"/>
              <w:rPr>
                <w:rFonts w:ascii="Times New Roman" w:eastAsia="Times New Roman" w:hAnsi="Times New Roman" w:cs="Times New Roman"/>
                <w:sz w:val="24"/>
                <w:szCs w:val="24"/>
                <w:lang w:eastAsia="tr-TR"/>
              </w:rPr>
            </w:pPr>
          </w:p>
        </w:tc>
      </w:tr>
    </w:tbl>
    <w:p w:rsidR="000B4EED" w:rsidRPr="000B4EED" w:rsidRDefault="000B4EED" w:rsidP="000B4EED">
      <w:pPr>
        <w:spacing w:after="0" w:line="240" w:lineRule="auto"/>
        <w:jc w:val="center"/>
        <w:rPr>
          <w:rFonts w:ascii="Times New Roman" w:eastAsia="Times New Roman" w:hAnsi="Times New Roman" w:cs="Times New Roman"/>
          <w:color w:val="000000"/>
          <w:sz w:val="27"/>
          <w:szCs w:val="27"/>
          <w:lang w:eastAsia="tr-TR"/>
        </w:rPr>
      </w:pPr>
      <w:r w:rsidRPr="000B4EED">
        <w:rPr>
          <w:rFonts w:ascii="Times New Roman" w:eastAsia="Times New Roman" w:hAnsi="Times New Roman" w:cs="Times New Roman"/>
          <w:color w:val="000000"/>
          <w:sz w:val="27"/>
          <w:szCs w:val="27"/>
          <w:lang w:eastAsia="tr-TR"/>
        </w:rPr>
        <w:t> </w:t>
      </w:r>
    </w:p>
    <w:p w:rsidR="002773AA" w:rsidRDefault="002773AA"/>
    <w:sectPr w:rsidR="00277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ED"/>
    <w:rsid w:val="000B4EED"/>
    <w:rsid w:val="002773AA"/>
    <w:rsid w:val="003A2CE0"/>
    <w:rsid w:val="00AE03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030B8-CE56-4BFB-95B9-432E415B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4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B4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B4E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B4E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95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08ybilgic</dc:creator>
  <cp:keywords/>
  <dc:description/>
  <cp:lastModifiedBy>user</cp:lastModifiedBy>
  <cp:revision>2</cp:revision>
  <dcterms:created xsi:type="dcterms:W3CDTF">2021-06-18T18:45:00Z</dcterms:created>
  <dcterms:modified xsi:type="dcterms:W3CDTF">2021-06-18T18:45:00Z</dcterms:modified>
</cp:coreProperties>
</file>